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FF4" w:rsidRPr="00D40D06" w:rsidRDefault="003A5702">
      <w:pPr>
        <w:rPr>
          <w:b/>
        </w:rPr>
      </w:pPr>
      <w:bookmarkStart w:id="0" w:name="_GoBack"/>
      <w:bookmarkEnd w:id="0"/>
      <w:r w:rsidRPr="00D40D06">
        <w:rPr>
          <w:b/>
        </w:rPr>
        <w:t>A</w:t>
      </w:r>
      <w:r w:rsidR="00DC3856" w:rsidRPr="00D40D06">
        <w:rPr>
          <w:b/>
        </w:rPr>
        <w:t xml:space="preserve"> strategy for </w:t>
      </w:r>
      <w:r w:rsidRPr="00D40D06">
        <w:rPr>
          <w:b/>
        </w:rPr>
        <w:t xml:space="preserve">resource mobilization to enable </w:t>
      </w:r>
      <w:r w:rsidR="00DC3856" w:rsidRPr="00D40D06">
        <w:rPr>
          <w:b/>
        </w:rPr>
        <w:t>UNV programme continuation</w:t>
      </w:r>
      <w:r w:rsidR="00DC7A27">
        <w:rPr>
          <w:b/>
        </w:rPr>
        <w:t xml:space="preserve">                                                                                                                                                     </w:t>
      </w:r>
    </w:p>
    <w:p w:rsidR="00B10FC2" w:rsidRDefault="00B10FC2">
      <w:r>
        <w:t>A broad or</w:t>
      </w:r>
      <w:r w:rsidR="001D5045">
        <w:t xml:space="preserve">der of magnitude budget of </w:t>
      </w:r>
      <w:r w:rsidR="00B324B4">
        <w:t xml:space="preserve">US$ 13.2 million at constant 2014 prices, </w:t>
      </w:r>
      <w:r w:rsidR="001D5045">
        <w:t>US$14</w:t>
      </w:r>
      <w:r>
        <w:t>.</w:t>
      </w:r>
      <w:r w:rsidR="001D5045">
        <w:t>0</w:t>
      </w:r>
      <w:r>
        <w:t xml:space="preserve"> million</w:t>
      </w:r>
      <w:r w:rsidR="00B324B4">
        <w:t xml:space="preserve"> including an allowance for inflation at 3% p.a.,</w:t>
      </w:r>
      <w:r>
        <w:t xml:space="preserve"> has been estimated for the continuation of the UNV programme for a further five years (2015-2019).    The estimate uses the current global figure of $55,000 p</w:t>
      </w:r>
      <w:r w:rsidR="00B324B4">
        <w:t xml:space="preserve">er </w:t>
      </w:r>
      <w:r>
        <w:t>p</w:t>
      </w:r>
      <w:r w:rsidR="00B324B4">
        <w:t xml:space="preserve">erson </w:t>
      </w:r>
      <w:r>
        <w:t>p</w:t>
      </w:r>
      <w:r w:rsidR="00B324B4">
        <w:t xml:space="preserve">er </w:t>
      </w:r>
      <w:r>
        <w:t>y</w:t>
      </w:r>
      <w:r w:rsidR="00B324B4">
        <w:t>ear</w:t>
      </w:r>
      <w:r>
        <w:t xml:space="preserve"> for direct costs attributable to individual volunteers, and provides an additional 20% approximately for UN overheads, capacity development initiatives, </w:t>
      </w:r>
      <w:r w:rsidR="00B324B4">
        <w:t>continuing professional development</w:t>
      </w:r>
      <w:r w:rsidR="003742C0">
        <w:t xml:space="preserve"> </w:t>
      </w:r>
      <w:r>
        <w:t>and other professional</w:t>
      </w:r>
      <w:r w:rsidR="003742C0">
        <w:t xml:space="preserve"> support.</w:t>
      </w:r>
      <w:r>
        <w:t xml:space="preserve"> </w:t>
      </w:r>
    </w:p>
    <w:p w:rsidR="001D5045" w:rsidRDefault="00DC3856">
      <w:r>
        <w:t>Historically, the Global Fund (GF) has been the main source of funding for UNVs in the healt</w:t>
      </w:r>
      <w:r w:rsidR="003742C0">
        <w:t>h sector (the sole source until the Royal Norwegian Government provided a grant to enable continuation of the programme into 2014).  I</w:t>
      </w:r>
      <w:r>
        <w:t>t seems</w:t>
      </w:r>
      <w:r w:rsidR="001D5045">
        <w:t xml:space="preserve"> likely</w:t>
      </w:r>
      <w:r>
        <w:t xml:space="preserve"> that th</w:t>
      </w:r>
      <w:r w:rsidR="003742C0">
        <w:t>e GF</w:t>
      </w:r>
      <w:r>
        <w:t xml:space="preserve"> will continue to be the main source.  There is a new application to the GF pending</w:t>
      </w:r>
      <w:r w:rsidR="00A745A0">
        <w:t>, and it had</w:t>
      </w:r>
      <w:r w:rsidR="000E7F3E">
        <w:t xml:space="preserve"> been indicated that UNVs could be supported fr</w:t>
      </w:r>
      <w:r w:rsidR="00FE4AC5">
        <w:t xml:space="preserve">om the proceeds.  </w:t>
      </w:r>
      <w:r w:rsidR="00A745A0">
        <w:t>At the same time, there we</w:t>
      </w:r>
      <w:r w:rsidR="000E7F3E">
        <w:t>re reportedly two existing grants which need</w:t>
      </w:r>
      <w:r w:rsidR="00A745A0">
        <w:t>ed</w:t>
      </w:r>
      <w:r w:rsidR="000E7F3E">
        <w:t xml:space="preserve"> to be reprogrammed</w:t>
      </w:r>
      <w:r w:rsidR="00FE4AC5">
        <w:t>.   At an earlier</w:t>
      </w:r>
      <w:r w:rsidR="001D5045">
        <w:t xml:space="preserve"> stage, it </w:t>
      </w:r>
      <w:r w:rsidR="00FE4AC5">
        <w:t>wa</w:t>
      </w:r>
      <w:r w:rsidR="001D5045">
        <w:t>s not clear whether the UNV programme would be eligible for inclus</w:t>
      </w:r>
      <w:r w:rsidR="00FE4AC5">
        <w:t>ion in any re-programming.  It was</w:t>
      </w:r>
      <w:r w:rsidR="001D5045">
        <w:t xml:space="preserve"> also unclear what amount of funds would be available from any re-programmi</w:t>
      </w:r>
      <w:r w:rsidR="00FE4AC5">
        <w:t>ng of existing grants.  Timing wa</w:t>
      </w:r>
      <w:r w:rsidR="001D5045">
        <w:t>s also a moot po</w:t>
      </w:r>
      <w:r w:rsidR="000E2963">
        <w:t>int, in that experience suggested</w:t>
      </w:r>
      <w:r w:rsidR="001D5045">
        <w:t xml:space="preserve"> that the approva</w:t>
      </w:r>
      <w:r w:rsidR="000E2963">
        <w:t>l process for re-programming could</w:t>
      </w:r>
      <w:r w:rsidR="001D5045">
        <w:t xml:space="preserve"> be as protracted as for new applications.</w:t>
      </w:r>
      <w:r w:rsidR="000E2963">
        <w:t xml:space="preserve">  In this light, it was considered likely that there would be a need for bridging finance for 2015 from a source yet to be identified.</w:t>
      </w:r>
      <w:r w:rsidR="001D5045">
        <w:t xml:space="preserve"> </w:t>
      </w:r>
    </w:p>
    <w:p w:rsidR="00E703E7" w:rsidRDefault="00E703E7">
      <w:r>
        <w:t xml:space="preserve">It has been indicated by UNAIDS that in any further request for GF money, a tighter connection between the UNV programme and </w:t>
      </w:r>
      <w:r w:rsidR="00D8698D">
        <w:t>the GF diseases of concern (particularly HIV) needs to be demonstrated.  All medical specialists, regardless of specialty, would be acceptable on the grounds of their role in training future doctors, and the HIV programme supervisors are automatically in l</w:t>
      </w:r>
      <w:r w:rsidR="00FE4AC5">
        <w:t>ine.  The difficulty might</w:t>
      </w:r>
      <w:r w:rsidR="00D8698D">
        <w:t xml:space="preserve"> lie in justifying the inclusion of dentists and physiotherapists.</w:t>
      </w:r>
      <w:r w:rsidR="000E2963">
        <w:t xml:space="preserve">  In the absence of a realistic justification, it would be necessary to make a separate application to another donor.</w:t>
      </w:r>
    </w:p>
    <w:p w:rsidR="00D8698D" w:rsidRDefault="00D8698D">
      <w:r>
        <w:t>For this reason,</w:t>
      </w:r>
      <w:r w:rsidR="003A5702">
        <w:t xml:space="preserve"> and possibly also the need to secure bridging finance for 2015,</w:t>
      </w:r>
      <w:r w:rsidR="00FE4AC5">
        <w:t xml:space="preserve"> it</w:t>
      </w:r>
      <w:r>
        <w:t xml:space="preserve"> seem</w:t>
      </w:r>
      <w:r w:rsidR="00FE4AC5">
        <w:t>ed</w:t>
      </w:r>
      <w:r>
        <w:t xml:space="preserve"> that future fund</w:t>
      </w:r>
      <w:r w:rsidR="00FE4AC5">
        <w:t>ing of the entire programme would</w:t>
      </w:r>
      <w:r>
        <w:t xml:space="preserve"> depend on a blending of GF and</w:t>
      </w:r>
      <w:r w:rsidR="00FE4AC5">
        <w:t xml:space="preserve"> bilateral resources.  There were thought to be</w:t>
      </w:r>
      <w:r>
        <w:t xml:space="preserve"> a number of potential candidates among bilateral donors, who would need to provide just under 20% of the total budget</w:t>
      </w:r>
      <w:r w:rsidR="00FE4AC5">
        <w:t xml:space="preserve"> if the dentistry and physiotherapy components were to be separately funded</w:t>
      </w:r>
      <w:r>
        <w:t xml:space="preserve">, so say </w:t>
      </w:r>
      <w:r w:rsidR="00B10FC2">
        <w:t>$</w:t>
      </w:r>
      <w:r w:rsidR="003A5702">
        <w:t>2.8 million if bridging finance were available from the Global Fund, and a further $2</w:t>
      </w:r>
      <w:r w:rsidR="00FE4AC5">
        <w:t>.8 million (excluding the dentistry and physiotherapy</w:t>
      </w:r>
      <w:r w:rsidR="003A5702">
        <w:t xml:space="preserve"> component</w:t>
      </w:r>
      <w:r w:rsidR="00FE4AC5">
        <w:t xml:space="preserve"> </w:t>
      </w:r>
      <w:r w:rsidR="002B4CD6">
        <w:t xml:space="preserve">for that year </w:t>
      </w:r>
      <w:r w:rsidR="00FE4AC5">
        <w:t>to avoid double counting</w:t>
      </w:r>
      <w:r w:rsidR="003A5702">
        <w:t>) if bridging finance for one</w:t>
      </w:r>
      <w:r w:rsidR="00DC7A27">
        <w:t xml:space="preserve"> year was additionally required from a bilateral donor.</w:t>
      </w:r>
    </w:p>
    <w:p w:rsidR="000E2963" w:rsidRDefault="000E2963">
      <w:r>
        <w:t>This was the state of play prior to the meeting of the Capacity Development Project Board on 1 July.  At that meeting, several key decisions were taken</w:t>
      </w:r>
      <w:r w:rsidR="00DF03D1">
        <w:t>, following discussion of a number of options</w:t>
      </w:r>
      <w:r>
        <w:t>.  The first was that the Ministry of Health agreed the numbers of UN volunteers proposed.  The second was that it was agreed that the UNV scheme should be included in the new application for funding to be presented in October</w:t>
      </w:r>
      <w:r w:rsidR="00DF03D1">
        <w:t>, with a view to funds becoming available in 2016.  The third was that funding should be sought for the entire programme, inclusive of the dental and physiotherapy components.</w:t>
      </w:r>
      <w:r>
        <w:t xml:space="preserve"> </w:t>
      </w:r>
      <w:r w:rsidR="00DF03D1">
        <w:t xml:space="preserve"> The fourth was that the bridging finance for the operation of the UNV scheme in 2015 could not come from reprogramming of existing GF grants.  The implication of these decisions is that two applications now need to be prepared: one, directed to the Global Fund, for the operation of </w:t>
      </w:r>
      <w:r w:rsidR="00DF03D1">
        <w:lastRenderedPageBreak/>
        <w:t>the complete programme over the period 2016-2019; a second, directed at an as yet unidentified bilateral donor, for the operation of the entire programme through 2015.</w:t>
      </w:r>
    </w:p>
    <w:p w:rsidR="00A745A0" w:rsidRDefault="00A745A0">
      <w:r>
        <w:t>In pursuit of the second, more urgent, requirement the consultant was asked to draw up a brief paper outlining the case for bridging funding, with a view to its presentation to the then visiting Norwegian Prime Minister.  At the moment of writing, it is not known whether this appeal has been or will be successful, but it would be prudent to assume that the case made for bridging finance should be elaborated for presentation to other potential donors.</w:t>
      </w:r>
    </w:p>
    <w:p w:rsidR="00DC3856" w:rsidRDefault="000A3503">
      <w:r>
        <w:t>The outstanding</w:t>
      </w:r>
      <w:r w:rsidR="00DC7A27">
        <w:t xml:space="preserve"> task is to provide appropriate justifications for the proposed expenditures.  The</w:t>
      </w:r>
      <w:r>
        <w:t xml:space="preserve"> justification for br</w:t>
      </w:r>
      <w:r w:rsidR="00DC7A27">
        <w:t>idging finance</w:t>
      </w:r>
      <w:r>
        <w:t xml:space="preserve"> is essentially derivative from the justification for the whole programme, with the additional element of explanation of the gap between historic funding commitments</w:t>
      </w:r>
      <w:r w:rsidR="00DC7A27">
        <w:t xml:space="preserve"> and the</w:t>
      </w:r>
      <w:r>
        <w:t xml:space="preserve"> anticipated availability of new resources resulting from a further</w:t>
      </w:r>
      <w:r w:rsidR="00DC7A27">
        <w:t xml:space="preserve"> application to </w:t>
      </w:r>
      <w:r>
        <w:t>the Global Fund.  These justifications will le</w:t>
      </w:r>
      <w:r w:rsidR="003D3465">
        <w:t xml:space="preserve">an on the analysis in the Part 1 report. </w:t>
      </w:r>
      <w:r>
        <w:t xml:space="preserve"> It will also be necessary to capture the contribution that dentistry and physiotherapy </w:t>
      </w:r>
      <w:r w:rsidR="002B4CD6">
        <w:t xml:space="preserve">make </w:t>
      </w:r>
      <w:r>
        <w:t xml:space="preserve">to the management of the diseases of interest to the GF.  </w:t>
      </w:r>
      <w:r w:rsidR="003D3465">
        <w:t xml:space="preserve">The common thread is the absence or insufficiency of qualified Malawians to fill crucial posts in the public provider system at a time when gap filling is still necessary but the programme emphasis is shifting to capacity building for the future.  </w:t>
      </w:r>
    </w:p>
    <w:p w:rsidR="002D2292" w:rsidRDefault="002D2292">
      <w:r>
        <w:t>This note represents the first deliverable due under the revised terms of reference for the second visit of the consultant.</w:t>
      </w:r>
    </w:p>
    <w:sectPr w:rsidR="002D2292" w:rsidSect="00F21C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56"/>
    <w:rsid w:val="00086F1A"/>
    <w:rsid w:val="000A3503"/>
    <w:rsid w:val="000E1E34"/>
    <w:rsid w:val="000E2963"/>
    <w:rsid w:val="000E7F3E"/>
    <w:rsid w:val="00137FAB"/>
    <w:rsid w:val="001D5045"/>
    <w:rsid w:val="002B4CD6"/>
    <w:rsid w:val="002D2292"/>
    <w:rsid w:val="0031016F"/>
    <w:rsid w:val="00317F72"/>
    <w:rsid w:val="00334C24"/>
    <w:rsid w:val="00354E0E"/>
    <w:rsid w:val="003742C0"/>
    <w:rsid w:val="003A5702"/>
    <w:rsid w:val="003D3465"/>
    <w:rsid w:val="00471145"/>
    <w:rsid w:val="004F2D8D"/>
    <w:rsid w:val="00544CAF"/>
    <w:rsid w:val="005932FC"/>
    <w:rsid w:val="006412DD"/>
    <w:rsid w:val="00707866"/>
    <w:rsid w:val="00861FC0"/>
    <w:rsid w:val="009338B2"/>
    <w:rsid w:val="009A655E"/>
    <w:rsid w:val="00A745A0"/>
    <w:rsid w:val="00AE053D"/>
    <w:rsid w:val="00B10FC2"/>
    <w:rsid w:val="00B324B4"/>
    <w:rsid w:val="00B74CE9"/>
    <w:rsid w:val="00BB6E75"/>
    <w:rsid w:val="00D40D06"/>
    <w:rsid w:val="00D8698D"/>
    <w:rsid w:val="00DC3051"/>
    <w:rsid w:val="00DC3856"/>
    <w:rsid w:val="00DC7A27"/>
    <w:rsid w:val="00DF03D1"/>
    <w:rsid w:val="00E703E7"/>
    <w:rsid w:val="00EC2028"/>
    <w:rsid w:val="00EF131F"/>
    <w:rsid w:val="00F01091"/>
    <w:rsid w:val="00F21CDD"/>
    <w:rsid w:val="00F6722A"/>
    <w:rsid w:val="00F82D88"/>
    <w:rsid w:val="00FE4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3DE8E-FBDE-4A23-9409-7AF1A510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38B2"/>
    <w:rPr>
      <w:sz w:val="16"/>
      <w:szCs w:val="16"/>
    </w:rPr>
  </w:style>
  <w:style w:type="paragraph" w:styleId="CommentText">
    <w:name w:val="annotation text"/>
    <w:basedOn w:val="Normal"/>
    <w:link w:val="CommentTextChar"/>
    <w:uiPriority w:val="99"/>
    <w:semiHidden/>
    <w:unhideWhenUsed/>
    <w:rsid w:val="009338B2"/>
    <w:pPr>
      <w:spacing w:line="240" w:lineRule="auto"/>
    </w:pPr>
    <w:rPr>
      <w:sz w:val="20"/>
      <w:szCs w:val="20"/>
    </w:rPr>
  </w:style>
  <w:style w:type="character" w:customStyle="1" w:styleId="CommentTextChar">
    <w:name w:val="Comment Text Char"/>
    <w:basedOn w:val="DefaultParagraphFont"/>
    <w:link w:val="CommentText"/>
    <w:uiPriority w:val="99"/>
    <w:semiHidden/>
    <w:rsid w:val="009338B2"/>
    <w:rPr>
      <w:sz w:val="20"/>
      <w:szCs w:val="20"/>
    </w:rPr>
  </w:style>
  <w:style w:type="paragraph" w:styleId="CommentSubject">
    <w:name w:val="annotation subject"/>
    <w:basedOn w:val="CommentText"/>
    <w:next w:val="CommentText"/>
    <w:link w:val="CommentSubjectChar"/>
    <w:uiPriority w:val="99"/>
    <w:semiHidden/>
    <w:unhideWhenUsed/>
    <w:rsid w:val="009338B2"/>
    <w:rPr>
      <w:b/>
      <w:bCs/>
    </w:rPr>
  </w:style>
  <w:style w:type="character" w:customStyle="1" w:styleId="CommentSubjectChar">
    <w:name w:val="Comment Subject Char"/>
    <w:basedOn w:val="CommentTextChar"/>
    <w:link w:val="CommentSubject"/>
    <w:uiPriority w:val="99"/>
    <w:semiHidden/>
    <w:rsid w:val="009338B2"/>
    <w:rPr>
      <w:b/>
      <w:bCs/>
      <w:sz w:val="20"/>
      <w:szCs w:val="20"/>
    </w:rPr>
  </w:style>
  <w:style w:type="paragraph" w:styleId="BalloonText">
    <w:name w:val="Balloon Text"/>
    <w:basedOn w:val="Normal"/>
    <w:link w:val="BalloonTextChar"/>
    <w:uiPriority w:val="99"/>
    <w:semiHidden/>
    <w:unhideWhenUsed/>
    <w:rsid w:val="00933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2014-08-12T09:00:00+00:00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MWI</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1544</Value>
      <Value>1107</Value>
      <Value>1</Value>
    </TaxCatchAll>
    <c4e2ab2cc9354bbf9064eeb465a566ea xmlns="1ed4137b-41b2-488b-8250-6d369ec27664">
      <Terms xmlns="http://schemas.microsoft.com/office/infopath/2007/PartnerControls"/>
    </c4e2ab2cc9354bbf9064eeb465a566ea>
    <UndpProjectNo xmlns="1ed4137b-41b2-488b-8250-6d369ec27664">00071951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ATLASPDC-4-20631</_dlc_DocId>
    <_dlc_DocIdUrl xmlns="f1161f5b-24a3-4c2d-bc81-44cb9325e8ee">
      <Url>https://info.undp.org/docs/pdc/_layouts/DocIdRedir.aspx?ID=ATLASPDC-4-20631</Url>
      <Description>ATLASPDC-4-20631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B3ACA6-6118-4BF6-B73E-D05E7DB662FD}"/>
</file>

<file path=customXml/itemProps2.xml><?xml version="1.0" encoding="utf-8"?>
<ds:datastoreItem xmlns:ds="http://schemas.openxmlformats.org/officeDocument/2006/customXml" ds:itemID="{6B9A8CE9-BC7B-4738-85D6-FE254395C8F9}"/>
</file>

<file path=customXml/itemProps3.xml><?xml version="1.0" encoding="utf-8"?>
<ds:datastoreItem xmlns:ds="http://schemas.openxmlformats.org/officeDocument/2006/customXml" ds:itemID="{7A61A071-BE46-4014-AFAA-7EDAC8860C5D}"/>
</file>

<file path=customXml/itemProps4.xml><?xml version="1.0" encoding="utf-8"?>
<ds:datastoreItem xmlns:ds="http://schemas.openxmlformats.org/officeDocument/2006/customXml" ds:itemID="{F8158D11-914F-47C9-A64C-B0F57CEA79AF}"/>
</file>

<file path=customXml/itemProps5.xml><?xml version="1.0" encoding="utf-8"?>
<ds:datastoreItem xmlns:ds="http://schemas.openxmlformats.org/officeDocument/2006/customXml" ds:itemID="{8EE3E05C-1B20-4C64-AA87-11E7AB3DEECF}"/>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 Strategy</dc:title>
  <dc:subject/>
  <dc:creator>Mark Wheeler</dc:creator>
  <cp:lastModifiedBy>Sarah Tsokalida</cp:lastModifiedBy>
  <cp:revision>2</cp:revision>
  <dcterms:created xsi:type="dcterms:W3CDTF">2014-08-12T07:12:00Z</dcterms:created>
  <dcterms:modified xsi:type="dcterms:W3CDTF">2014-08-12T07:12:00Z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fee47869-d96e-4364-87fa-621ad1c512e6</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1544;#MWI|b63a57e3-63ca-4463-a7bd-d18154366ee0</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